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color w:val="1f1f1f"/>
          <w:sz w:val="40"/>
          <w:szCs w:val="40"/>
        </w:rPr>
      </w:pPr>
      <w:r w:rsidDel="00000000" w:rsidR="00000000" w:rsidRPr="00000000">
        <w:rPr>
          <w:b w:val="1"/>
          <w:bCs w:val="1"/>
          <w:color w:val="1f1f1f"/>
          <w:sz w:val="40"/>
          <w:szCs w:val="40"/>
          <w:rtl w:val="0"/>
        </w:rPr>
        <w:t xml:space="preserve">TEACHER'S GUIDE</w:t>
      </w:r>
    </w:p>
    <w:p w:rsidR="00000000" w:rsidDel="00000000" w:rsidP="00000000" w:rsidRDefault="00000000" w:rsidRPr="00000000" w14:paraId="00000002">
      <w:pPr>
        <w:spacing w:line="360" w:lineRule="auto"/>
        <w:jc w:val="both"/>
        <w:rPr>
          <w:b w:val="1"/>
          <w:bCs w:val="1"/>
          <w:color w:val="1f1f1f"/>
          <w:sz w:val="40"/>
          <w:szCs w:val="40"/>
        </w:rPr>
      </w:pPr>
      <w:r w:rsidDel="00000000" w:rsidR="00000000" w:rsidRPr="00000000">
        <w:rPr>
          <w:b w:val="1"/>
          <w:bCs w:val="1"/>
          <w:color w:val="1f1f1f"/>
          <w:sz w:val="40"/>
          <w:szCs w:val="40"/>
          <w:rtl w:val="0"/>
        </w:rPr>
        <w:t xml:space="preserve">Module 5: Developing a Green Business Plan</w:t>
      </w:r>
    </w:p>
    <w:p w:rsidR="00000000" w:rsidDel="00000000" w:rsidP="00000000" w:rsidRDefault="00000000" w:rsidRPr="00000000" w14:paraId="00000003">
      <w:pPr>
        <w:numPr>
          <w:ilvl w:val="0"/>
          <w:numId w:val="1"/>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Estimated Duration:</w:t>
      </w:r>
      <w:r w:rsidDel="00000000" w:rsidR="00000000" w:rsidRPr="00000000">
        <w:rPr>
          <w:rFonts w:ascii="Play" w:cs="Play" w:eastAsia="Play" w:hAnsi="Play"/>
          <w:sz w:val="24"/>
          <w:szCs w:val="24"/>
          <w:rtl w:val="0"/>
        </w:rPr>
        <w:t xml:space="preserve"> 40–45 Minutes. </w:t>
      </w:r>
    </w:p>
    <w:p w:rsidR="00000000" w:rsidDel="00000000" w:rsidP="00000000" w:rsidRDefault="00000000" w:rsidRPr="00000000" w14:paraId="00000004">
      <w:pPr>
        <w:numPr>
          <w:ilvl w:val="0"/>
          <w:numId w:val="1"/>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Target Audience:</w:t>
      </w:r>
      <w:r w:rsidDel="00000000" w:rsidR="00000000" w:rsidRPr="00000000">
        <w:rPr>
          <w:rFonts w:ascii="Play" w:cs="Play" w:eastAsia="Play" w:hAnsi="Play"/>
          <w:sz w:val="24"/>
          <w:szCs w:val="24"/>
          <w:rtl w:val="0"/>
        </w:rPr>
        <w:t xml:space="preserve"> Aspiring entrepreneurs and young women learning to convert sustainable intentions into operationally sound, investable business roadmaps.</w:t>
      </w:r>
    </w:p>
    <w:p w:rsidR="00000000" w:rsidDel="00000000" w:rsidP="00000000" w:rsidRDefault="00000000" w:rsidRPr="00000000" w14:paraId="00000005">
      <w:pPr>
        <w:numPr>
          <w:ilvl w:val="0"/>
          <w:numId w:val="1"/>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Pedagogical Approach:</w:t>
      </w:r>
      <w:r w:rsidDel="00000000" w:rsidR="00000000" w:rsidRPr="00000000">
        <w:rPr>
          <w:rFonts w:ascii="Play" w:cs="Play" w:eastAsia="Play" w:hAnsi="Play"/>
          <w:sz w:val="24"/>
          <w:szCs w:val="24"/>
          <w:rtl w:val="0"/>
        </w:rPr>
        <w:t xml:space="preserve"> Sustainable business modeling, Life Cycle Costing (LCC) validation, goal operationalization, and risk scenario testing.</w:t>
      </w:r>
    </w:p>
    <w:p w:rsidR="00000000" w:rsidDel="00000000" w:rsidP="00000000" w:rsidRDefault="00000000" w:rsidRPr="00000000" w14:paraId="00000006">
      <w:pPr>
        <w:spacing w:line="360" w:lineRule="auto"/>
        <w:jc w:val="both"/>
        <w:rPr>
          <w:rFonts w:ascii="Play" w:cs="Play" w:eastAsia="Play" w:hAnsi="Play"/>
          <w:b w:val="1"/>
          <w:bCs w:val="1"/>
          <w:sz w:val="24"/>
          <w:szCs w:val="24"/>
        </w:rPr>
      </w:pPr>
      <w:r w:rsidDel="00000000" w:rsidR="00000000" w:rsidRPr="00000000">
        <w:rPr>
          <w:rFonts w:ascii="Play" w:cs="Play" w:eastAsia="Play" w:hAnsi="Play"/>
          <w:b w:val="1"/>
          <w:bCs w:val="1"/>
          <w:sz w:val="24"/>
          <w:szCs w:val="24"/>
          <w:rtl w:val="0"/>
        </w:rPr>
        <w:t xml:space="preserve">1. Learning Objectives</w:t>
      </w:r>
    </w:p>
    <w:p w:rsidR="00000000" w:rsidDel="00000000" w:rsidP="00000000" w:rsidRDefault="00000000" w:rsidRPr="00000000" w14:paraId="00000007">
      <w:pPr>
        <w:spacing w:line="360" w:lineRule="auto"/>
        <w:jc w:val="both"/>
        <w:rPr>
          <w:rFonts w:ascii="Play" w:cs="Play" w:eastAsia="Play" w:hAnsi="Play"/>
          <w:sz w:val="24"/>
          <w:szCs w:val="24"/>
        </w:rPr>
      </w:pPr>
      <w:r w:rsidDel="00000000" w:rsidR="00000000" w:rsidRPr="00000000">
        <w:rPr>
          <w:rFonts w:ascii="Play" w:cs="Play" w:eastAsia="Play" w:hAnsi="Play"/>
          <w:sz w:val="24"/>
          <w:szCs w:val="24"/>
          <w:rtl w:val="0"/>
        </w:rPr>
        <w:t xml:space="preserve">By the end of this session, trainers  must ensure that students can:</w:t>
      </w:r>
    </w:p>
    <w:p w:rsidR="00000000" w:rsidDel="00000000" w:rsidP="00000000" w:rsidRDefault="00000000" w:rsidRPr="00000000" w14:paraId="00000008">
      <w:pPr>
        <w:numPr>
          <w:ilvl w:val="0"/>
          <w:numId w:val="6"/>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Develop</w:t>
      </w:r>
      <w:r w:rsidDel="00000000" w:rsidR="00000000" w:rsidRPr="00000000">
        <w:rPr>
          <w:rFonts w:ascii="Play" w:cs="Play" w:eastAsia="Play" w:hAnsi="Play"/>
          <w:sz w:val="24"/>
          <w:szCs w:val="24"/>
          <w:rtl w:val="0"/>
        </w:rPr>
        <w:t xml:space="preserve"> a green business model that fully integrates environmental, social, and financial pillars using a unified Triple Bottom Line approach. </w:t>
      </w:r>
    </w:p>
    <w:p w:rsidR="00000000" w:rsidDel="00000000" w:rsidP="00000000" w:rsidRDefault="00000000" w:rsidRPr="00000000" w14:paraId="00000009">
      <w:pPr>
        <w:numPr>
          <w:ilvl w:val="0"/>
          <w:numId w:val="6"/>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Formulate</w:t>
      </w:r>
      <w:r w:rsidDel="00000000" w:rsidR="00000000" w:rsidRPr="00000000">
        <w:rPr>
          <w:rFonts w:ascii="Play" w:cs="Play" w:eastAsia="Play" w:hAnsi="Play"/>
          <w:sz w:val="24"/>
          <w:szCs w:val="24"/>
          <w:rtl w:val="0"/>
        </w:rPr>
        <w:t xml:space="preserve"> a balanced, dual-value proposition that meets clear consumer functional requirements while proving measurable environmental benefits.</w:t>
      </w:r>
    </w:p>
    <w:p w:rsidR="00000000" w:rsidDel="00000000" w:rsidP="00000000" w:rsidRDefault="00000000" w:rsidRPr="00000000" w14:paraId="0000000A">
      <w:pPr>
        <w:numPr>
          <w:ilvl w:val="0"/>
          <w:numId w:val="6"/>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Convert</w:t>
      </w:r>
      <w:r w:rsidDel="00000000" w:rsidR="00000000" w:rsidRPr="00000000">
        <w:rPr>
          <w:rFonts w:ascii="Play" w:cs="Play" w:eastAsia="Play" w:hAnsi="Play"/>
          <w:sz w:val="24"/>
          <w:szCs w:val="24"/>
          <w:rtl w:val="0"/>
        </w:rPr>
        <w:t xml:space="preserve"> abstract ecological goals into actionable, time-bound targets with trackable project performance indicators.</w:t>
      </w:r>
    </w:p>
    <w:p w:rsidR="00000000" w:rsidDel="00000000" w:rsidP="00000000" w:rsidRDefault="00000000" w:rsidRPr="00000000" w14:paraId="0000000B">
      <w:pPr>
        <w:numPr>
          <w:ilvl w:val="0"/>
          <w:numId w:val="6"/>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Execute</w:t>
      </w:r>
      <w:r w:rsidDel="00000000" w:rsidR="00000000" w:rsidRPr="00000000">
        <w:rPr>
          <w:rFonts w:ascii="Play" w:cs="Play" w:eastAsia="Play" w:hAnsi="Play"/>
          <w:sz w:val="24"/>
          <w:szCs w:val="24"/>
          <w:rtl w:val="0"/>
        </w:rPr>
        <w:t xml:space="preserve"> realistic financial planning and risk assessments that incorporate front-loaded input premiums and long-term resource efficiency returns.</w:t>
      </w:r>
    </w:p>
    <w:p w:rsidR="00000000" w:rsidDel="00000000" w:rsidP="00000000" w:rsidRDefault="00000000" w:rsidRPr="00000000" w14:paraId="0000000C">
      <w:pPr>
        <w:numPr>
          <w:ilvl w:val="0"/>
          <w:numId w:val="6"/>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Draft</w:t>
      </w:r>
      <w:r w:rsidDel="00000000" w:rsidR="00000000" w:rsidRPr="00000000">
        <w:rPr>
          <w:rFonts w:ascii="Play" w:cs="Play" w:eastAsia="Play" w:hAnsi="Play"/>
          <w:sz w:val="24"/>
          <w:szCs w:val="24"/>
          <w:rtl w:val="0"/>
        </w:rPr>
        <w:t xml:space="preserve"> an objective, evidence-based, and highly concise green business plan built on market validation rather than unsupported optimism.</w:t>
      </w:r>
    </w:p>
    <w:p w:rsidR="00000000" w:rsidDel="00000000" w:rsidP="00000000" w:rsidRDefault="00000000" w:rsidRPr="00000000" w14:paraId="0000000D">
      <w:pPr>
        <w:spacing w:line="360" w:lineRule="auto"/>
        <w:jc w:val="both"/>
        <w:rPr>
          <w:rFonts w:ascii="Play" w:cs="Play" w:eastAsia="Play" w:hAnsi="Play"/>
          <w:b w:val="1"/>
          <w:bCs w:val="1"/>
          <w:sz w:val="24"/>
          <w:szCs w:val="24"/>
        </w:rPr>
      </w:pPr>
      <w:r w:rsidDel="00000000" w:rsidR="00000000" w:rsidRPr="00000000">
        <w:rPr>
          <w:rFonts w:ascii="Play" w:cs="Play" w:eastAsia="Play" w:hAnsi="Play"/>
          <w:b w:val="1"/>
          <w:bCs w:val="1"/>
          <w:sz w:val="24"/>
          <w:szCs w:val="24"/>
          <w:rtl w:val="0"/>
        </w:rPr>
        <w:t xml:space="preserve">2. Lecture Outline &amp; Timing</w:t>
      </w:r>
    </w:p>
    <w:p w:rsidR="00000000" w:rsidDel="00000000" w:rsidP="00000000" w:rsidRDefault="00000000" w:rsidRPr="00000000" w14:paraId="0000000E">
      <w:pPr>
        <w:spacing w:line="360" w:lineRule="auto"/>
        <w:jc w:val="both"/>
        <w:rPr>
          <w:rFonts w:ascii="Play" w:cs="Play" w:eastAsia="Play" w:hAnsi="Play"/>
          <w:b w:val="1"/>
          <w:bCs w:val="1"/>
          <w:sz w:val="24"/>
          <w:szCs w:val="24"/>
        </w:rPr>
      </w:pPr>
      <w:r w:rsidDel="00000000" w:rsidR="00000000" w:rsidRPr="00000000">
        <w:rPr>
          <w:rFonts w:ascii="Play" w:cs="Play" w:eastAsia="Play" w:hAnsi="Play"/>
          <w:b w:val="1"/>
          <w:bCs w:val="1"/>
          <w:sz w:val="24"/>
          <w:szCs w:val="24"/>
          <w:rtl w:val="0"/>
        </w:rPr>
        <w:t xml:space="preserve">Phase 1: Re-Engineering the Business Model Canvas (10 Minutes)</w:t>
      </w:r>
    </w:p>
    <w:p w:rsidR="00000000" w:rsidDel="00000000" w:rsidP="00000000" w:rsidRDefault="00000000" w:rsidRPr="00000000" w14:paraId="0000000F">
      <w:pPr>
        <w:numPr>
          <w:ilvl w:val="0"/>
          <w:numId w:val="7"/>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Instructor Action:</w:t>
      </w:r>
      <w:r w:rsidDel="00000000" w:rsidR="00000000" w:rsidRPr="00000000">
        <w:rPr>
          <w:rFonts w:ascii="Play" w:cs="Play" w:eastAsia="Play" w:hAnsi="Play"/>
          <w:sz w:val="24"/>
          <w:szCs w:val="24"/>
          <w:rtl w:val="0"/>
        </w:rPr>
        <w:t xml:space="preserve"> Open the lecture by stating that green business viability is won or lost at the operational configuration level, never through branding or intentions alone. Introduce the systematic adaptation of the Osterwalder and Pigneur Business Model Canvas building blocks using explicit circular and lifecycle logic: </w:t>
      </w:r>
    </w:p>
    <w:p w:rsidR="00000000" w:rsidDel="00000000" w:rsidP="00000000" w:rsidRDefault="00000000" w:rsidRPr="00000000" w14:paraId="00000010">
      <w:pPr>
        <w:numPr>
          <w:ilvl w:val="1"/>
          <w:numId w:val="7"/>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Customer Segments:</w:t>
      </w:r>
      <w:r w:rsidDel="00000000" w:rsidR="00000000" w:rsidRPr="00000000">
        <w:rPr>
          <w:rFonts w:ascii="Play" w:cs="Play" w:eastAsia="Play" w:hAnsi="Play"/>
          <w:sz w:val="24"/>
          <w:szCs w:val="24"/>
          <w:rtl w:val="0"/>
        </w:rPr>
        <w:t xml:space="preserve"> Target segments must be mapped based on their specific vulnerability to the "green gap"—the proven disconnect between stated consumer pro-environmental values and actual, budget-constrained purchasing actions.</w:t>
      </w:r>
    </w:p>
    <w:p w:rsidR="00000000" w:rsidDel="00000000" w:rsidP="00000000" w:rsidRDefault="00000000" w:rsidRPr="00000000" w14:paraId="00000011">
      <w:pPr>
        <w:numPr>
          <w:ilvl w:val="1"/>
          <w:numId w:val="7"/>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Value Proposition (The Dual-Value Constraint):</w:t>
      </w:r>
      <w:r w:rsidDel="00000000" w:rsidR="00000000" w:rsidRPr="00000000">
        <w:rPr>
          <w:rFonts w:ascii="Play" w:cs="Play" w:eastAsia="Play" w:hAnsi="Play"/>
          <w:sz w:val="24"/>
          <w:szCs w:val="24"/>
          <w:rtl w:val="0"/>
        </w:rPr>
        <w:t xml:space="preserve"> The venture must explicitly balance customer value (functional parameters, price, convenience, design, and health optimization) with verifiable environmental value (emission, toxicity, or waste reductions).</w:t>
      </w:r>
    </w:p>
    <w:p w:rsidR="00000000" w:rsidDel="00000000" w:rsidP="00000000" w:rsidRDefault="00000000" w:rsidRPr="00000000" w14:paraId="00000012">
      <w:pPr>
        <w:numPr>
          <w:ilvl w:val="1"/>
          <w:numId w:val="7"/>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Channels &amp; Customer Relationships:</w:t>
      </w:r>
      <w:r w:rsidDel="00000000" w:rsidR="00000000" w:rsidRPr="00000000">
        <w:rPr>
          <w:rFonts w:ascii="Play" w:cs="Play" w:eastAsia="Play" w:hAnsi="Play"/>
          <w:sz w:val="24"/>
          <w:szCs w:val="24"/>
          <w:rtl w:val="0"/>
        </w:rPr>
        <w:t xml:space="preserve"> Green logistics nodes demand high baseline transparency. Use digital interfaces and interactive tools to prove supply chain origin data and foster trust. </w:t>
      </w:r>
    </w:p>
    <w:p w:rsidR="00000000" w:rsidDel="00000000" w:rsidP="00000000" w:rsidRDefault="00000000" w:rsidRPr="00000000" w14:paraId="00000013">
      <w:pPr>
        <w:numPr>
          <w:ilvl w:val="1"/>
          <w:numId w:val="7"/>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Revenue Streams:</w:t>
      </w:r>
      <w:r w:rsidDel="00000000" w:rsidR="00000000" w:rsidRPr="00000000">
        <w:rPr>
          <w:rFonts w:ascii="Play" w:cs="Play" w:eastAsia="Play" w:hAnsi="Play"/>
          <w:sz w:val="24"/>
          <w:szCs w:val="24"/>
          <w:rtl w:val="0"/>
        </w:rPr>
        <w:t xml:space="preserve"> Explore circular configurations such as Product-as-a-Service (PaaS), equipment leasing, or asset rentals to build recurring revenue metrics that linear enterprises cannot replicate. </w:t>
      </w:r>
    </w:p>
    <w:p w:rsidR="00000000" w:rsidDel="00000000" w:rsidP="00000000" w:rsidRDefault="00000000" w:rsidRPr="00000000" w14:paraId="00000014">
      <w:pPr>
        <w:numPr>
          <w:ilvl w:val="1"/>
          <w:numId w:val="7"/>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Cost Structure:</w:t>
      </w:r>
      <w:r w:rsidDel="00000000" w:rsidR="00000000" w:rsidRPr="00000000">
        <w:rPr>
          <w:rFonts w:ascii="Play" w:cs="Play" w:eastAsia="Play" w:hAnsi="Play"/>
          <w:sz w:val="24"/>
          <w:szCs w:val="24"/>
          <w:rtl w:val="0"/>
        </w:rPr>
        <w:t xml:space="preserve"> Keep short-term fixed overheads lean while balancing higher upfront green material inputs through cascading long-term operational efficiency gains (e.g., waste minimizations, resource reuse, lower energy draws).</w:t>
      </w:r>
    </w:p>
    <w:p w:rsidR="00000000" w:rsidDel="00000000" w:rsidP="00000000" w:rsidRDefault="00000000" w:rsidRPr="00000000" w14:paraId="00000015">
      <w:pPr>
        <w:spacing w:line="360" w:lineRule="auto"/>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Core Strategic Metric:</w:t>
      </w:r>
      <w:r w:rsidDel="00000000" w:rsidR="00000000" w:rsidRPr="00000000">
        <w:rPr>
          <w:rFonts w:ascii="Play" w:cs="Play" w:eastAsia="Play" w:hAnsi="Play"/>
          <w:sz w:val="24"/>
          <w:szCs w:val="24"/>
          <w:rtl w:val="0"/>
        </w:rPr>
        <w:t xml:space="preserve"> Financial viability and environmental integrity must reinforce each other dynamically. An enterprise that collapses financially cannot sustain its long-term environmental mission.</w:t>
      </w:r>
    </w:p>
    <w:p w:rsidR="00000000" w:rsidDel="00000000" w:rsidP="00000000" w:rsidRDefault="00000000" w:rsidRPr="00000000" w14:paraId="00000016">
      <w:pPr>
        <w:spacing w:line="360" w:lineRule="auto"/>
        <w:jc w:val="both"/>
        <w:rPr>
          <w:rFonts w:ascii="Play" w:cs="Play" w:eastAsia="Play" w:hAnsi="Play"/>
          <w:b w:val="1"/>
          <w:bCs w:val="1"/>
          <w:sz w:val="24"/>
          <w:szCs w:val="24"/>
        </w:rPr>
      </w:pPr>
      <w:r w:rsidDel="00000000" w:rsidR="00000000" w:rsidRPr="00000000">
        <w:rPr>
          <w:rFonts w:ascii="Play" w:cs="Play" w:eastAsia="Play" w:hAnsi="Play"/>
          <w:b w:val="1"/>
          <w:bCs w:val="1"/>
          <w:sz w:val="24"/>
          <w:szCs w:val="24"/>
          <w:rtl w:val="0"/>
        </w:rPr>
        <w:t xml:space="preserve">Phase 2: Overcoming Adoption Barriers &amp; Shifting the Burden (10 Minutes)</w:t>
      </w:r>
    </w:p>
    <w:p w:rsidR="00000000" w:rsidDel="00000000" w:rsidP="00000000" w:rsidRDefault="00000000" w:rsidRPr="00000000" w14:paraId="00000017">
      <w:pPr>
        <w:numPr>
          <w:ilvl w:val="0"/>
          <w:numId w:val="8"/>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The Mission-Driven Bias Pitfall:</w:t>
      </w:r>
      <w:r w:rsidDel="00000000" w:rsidR="00000000" w:rsidRPr="00000000">
        <w:rPr>
          <w:rFonts w:ascii="Play" w:cs="Play" w:eastAsia="Play" w:hAnsi="Play"/>
          <w:sz w:val="24"/>
          <w:szCs w:val="24"/>
          <w:rtl w:val="0"/>
        </w:rPr>
        <w:t xml:space="preserve"> Warn students against falling so deeply in love with their ecological mission that they fail to account for consumer friction points. </w:t>
      </w:r>
    </w:p>
    <w:p w:rsidR="00000000" w:rsidDel="00000000" w:rsidP="00000000" w:rsidRDefault="00000000" w:rsidRPr="00000000" w14:paraId="00000018">
      <w:pPr>
        <w:numPr>
          <w:ilvl w:val="0"/>
          <w:numId w:val="8"/>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The Four Primary Consumer Barriers:</w:t>
      </w:r>
      <w:r w:rsidDel="00000000" w:rsidR="00000000" w:rsidRPr="00000000">
        <w:rPr>
          <w:rFonts w:ascii="Play" w:cs="Play" w:eastAsia="Play" w:hAnsi="Play"/>
          <w:sz w:val="24"/>
          <w:szCs w:val="24"/>
          <w:rtl w:val="0"/>
        </w:rPr>
        <w:t xml:space="preserve"> Detail the exact behavioral forces that stall sustainable product adoption: </w:t>
      </w:r>
    </w:p>
    <w:p w:rsidR="00000000" w:rsidDel="00000000" w:rsidP="00000000" w:rsidRDefault="00000000" w:rsidRPr="00000000" w14:paraId="00000019">
      <w:pPr>
        <w:numPr>
          <w:ilvl w:val="1"/>
          <w:numId w:val="8"/>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Price Sensitivity:</w:t>
      </w:r>
      <w:r w:rsidDel="00000000" w:rsidR="00000000" w:rsidRPr="00000000">
        <w:rPr>
          <w:rFonts w:ascii="Play" w:cs="Play" w:eastAsia="Play" w:hAnsi="Play"/>
          <w:sz w:val="24"/>
          <w:szCs w:val="24"/>
          <w:rtl w:val="0"/>
        </w:rPr>
        <w:t xml:space="preserve"> High retail price premiums immediately restrict purchasing velocity. </w:t>
      </w:r>
    </w:p>
    <w:p w:rsidR="00000000" w:rsidDel="00000000" w:rsidP="00000000" w:rsidRDefault="00000000" w:rsidRPr="00000000" w14:paraId="0000001A">
      <w:pPr>
        <w:numPr>
          <w:ilvl w:val="1"/>
          <w:numId w:val="8"/>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Habitual Behavior &amp; Convenience:</w:t>
      </w:r>
      <w:r w:rsidDel="00000000" w:rsidR="00000000" w:rsidRPr="00000000">
        <w:rPr>
          <w:rFonts w:ascii="Play" w:cs="Play" w:eastAsia="Play" w:hAnsi="Play"/>
          <w:sz w:val="24"/>
          <w:szCs w:val="24"/>
          <w:rtl w:val="0"/>
        </w:rPr>
        <w:t xml:space="preserve"> If a green alternative introduces friction or requires lifestyle disruptions, consumer habits default to conventional options.</w:t>
      </w:r>
    </w:p>
    <w:p w:rsidR="00000000" w:rsidDel="00000000" w:rsidP="00000000" w:rsidRDefault="00000000" w:rsidRPr="00000000" w14:paraId="0000001B">
      <w:pPr>
        <w:numPr>
          <w:ilvl w:val="1"/>
          <w:numId w:val="8"/>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Lack of Trust:</w:t>
      </w:r>
      <w:r w:rsidDel="00000000" w:rsidR="00000000" w:rsidRPr="00000000">
        <w:rPr>
          <w:rFonts w:ascii="Play" w:cs="Play" w:eastAsia="Play" w:hAnsi="Play"/>
          <w:sz w:val="24"/>
          <w:szCs w:val="24"/>
          <w:rtl w:val="0"/>
        </w:rPr>
        <w:t xml:space="preserve"> Ubiquitous, unverified claims cause widespread marketplace skepticism. </w:t>
      </w:r>
    </w:p>
    <w:p w:rsidR="00000000" w:rsidDel="00000000" w:rsidP="00000000" w:rsidRDefault="00000000" w:rsidRPr="00000000" w14:paraId="0000001C">
      <w:pPr>
        <w:numPr>
          <w:ilvl w:val="1"/>
          <w:numId w:val="8"/>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Limited Understanding:</w:t>
      </w:r>
      <w:r w:rsidDel="00000000" w:rsidR="00000000" w:rsidRPr="00000000">
        <w:rPr>
          <w:rFonts w:ascii="Play" w:cs="Play" w:eastAsia="Play" w:hAnsi="Play"/>
          <w:sz w:val="24"/>
          <w:szCs w:val="24"/>
          <w:rtl w:val="0"/>
        </w:rPr>
        <w:t xml:space="preserve"> Consumers rarely buy products built on abstract or confusing science.</w:t>
      </w:r>
    </w:p>
    <w:p w:rsidR="00000000" w:rsidDel="00000000" w:rsidP="00000000" w:rsidRDefault="00000000" w:rsidRPr="00000000" w14:paraId="0000001D">
      <w:pPr>
        <w:spacing w:line="360" w:lineRule="auto"/>
        <w:jc w:val="both"/>
        <w:rPr>
          <w:rFonts w:ascii="Play" w:cs="Play" w:eastAsia="Play" w:hAnsi="Play"/>
          <w:sz w:val="24"/>
          <w:szCs w:val="24"/>
        </w:rPr>
      </w:pPr>
      <w:r w:rsidDel="00000000" w:rsidR="00000000" w:rsidRPr="00000000">
        <w:rPr>
          <w:rFonts w:ascii="Play" w:cs="Play" w:eastAsia="Play" w:hAnsi="Play"/>
          <w:sz w:val="24"/>
          <w:szCs w:val="24"/>
          <w:rtl w:val="0"/>
        </w:rPr>
        <w:t xml:space="preserve">Sourcing </w:t>
      </w:r>
      <w:sdt>
        <w:sdtPr>
          <w:id w:val="-333689197"/>
          <w:tag w:val="goog_rdk_0"/>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Fonts w:ascii="Play" w:cs="Play" w:eastAsia="Play" w:hAnsi="Play"/>
          <w:sz w:val="24"/>
          <w:szCs w:val="24"/>
          <w:rtl w:val="0"/>
        </w:rPr>
        <w:t xml:space="preserve"> Production </w:t>
      </w:r>
      <w:sdt>
        <w:sdtPr>
          <w:id w:val="-999254311"/>
          <w:tag w:val="goog_rdk_1"/>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Fonts w:ascii="Play" w:cs="Play" w:eastAsia="Play" w:hAnsi="Play"/>
          <w:sz w:val="24"/>
          <w:szCs w:val="24"/>
          <w:rtl w:val="0"/>
        </w:rPr>
        <w:t xml:space="preserve"> Distribution </w:t>
      </w:r>
      <w:sdt>
        <w:sdtPr>
          <w:id w:val="-280181609"/>
          <w:tag w:val="goog_rdk_2"/>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Fonts w:ascii="Play" w:cs="Play" w:eastAsia="Play" w:hAnsi="Play"/>
          <w:sz w:val="24"/>
          <w:szCs w:val="24"/>
          <w:rtl w:val="0"/>
        </w:rPr>
        <w:t xml:space="preserve"> Use Phase </w:t>
      </w:r>
      <w:sdt>
        <w:sdtPr>
          <w:id w:val="1896520949"/>
          <w:tag w:val="goog_rdk_3"/>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Fonts w:ascii="Play" w:cs="Play" w:eastAsia="Play" w:hAnsi="Play"/>
          <w:sz w:val="24"/>
          <w:szCs w:val="24"/>
          <w:rtl w:val="0"/>
        </w:rPr>
        <w:t xml:space="preserve"> End-of-Life</w:t>
      </w:r>
    </w:p>
    <w:p w:rsidR="00000000" w:rsidDel="00000000" w:rsidP="00000000" w:rsidRDefault="00000000" w:rsidRPr="00000000" w14:paraId="0000001E">
      <w:pPr>
        <w:spacing w:line="360" w:lineRule="auto"/>
        <w:jc w:val="both"/>
        <w:rPr>
          <w:rFonts w:ascii="Play" w:cs="Play" w:eastAsia="Play" w:hAnsi="Play"/>
          <w:sz w:val="24"/>
          <w:szCs w:val="24"/>
        </w:rPr>
      </w:pPr>
      <w:r w:rsidDel="00000000" w:rsidR="00000000" w:rsidRPr="00000000">
        <w:rPr>
          <w:rFonts w:ascii="Play" w:cs="Play" w:eastAsia="Play" w:hAnsi="Play"/>
          <w:sz w:val="24"/>
          <w:szCs w:val="24"/>
          <w:rtl w:val="0"/>
        </w:rPr>
        <w:t xml:space="preserve">  [ ]        [ ]           [ ]           [ ]           [ ]</w:t>
      </w:r>
    </w:p>
    <w:p w:rsidR="00000000" w:rsidDel="00000000" w:rsidP="00000000" w:rsidRDefault="00000000" w:rsidRPr="00000000" w14:paraId="0000001F">
      <w:pPr>
        <w:numPr>
          <w:ilvl w:val="0"/>
          <w:numId w:val="9"/>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Lifecycle Audit &amp; Shifting the Burden:</w:t>
      </w:r>
      <w:r w:rsidDel="00000000" w:rsidR="00000000" w:rsidRPr="00000000">
        <w:rPr>
          <w:rFonts w:ascii="Play" w:cs="Play" w:eastAsia="Play" w:hAnsi="Play"/>
          <w:sz w:val="24"/>
          <w:szCs w:val="24"/>
          <w:rtl w:val="0"/>
        </w:rPr>
        <w:t xml:space="preserve"> Instructors must teach students to apply "cradle to grave" lifecycle thinking across all five stages of production: raw material sourcing, manufacturing output, distribution/logistics, use phase, and end-of-life disposal. Emphasize that entrepreneurs must never "shift the burden"—for example, substituting a zero-plastic input material whose heavy global shipping logistics generate a total carbon footprint worse than a localized conventional baseline. Sourcing responsibly means tracking the complete value chain. </w:t>
      </w:r>
    </w:p>
    <w:p w:rsidR="00000000" w:rsidDel="00000000" w:rsidP="00000000" w:rsidRDefault="00000000" w:rsidRPr="00000000" w14:paraId="00000020">
      <w:pPr>
        <w:spacing w:line="360" w:lineRule="auto"/>
        <w:jc w:val="both"/>
        <w:rPr>
          <w:rFonts w:ascii="Play" w:cs="Play" w:eastAsia="Play" w:hAnsi="Play"/>
          <w:b w:val="1"/>
          <w:bCs w:val="1"/>
          <w:sz w:val="24"/>
          <w:szCs w:val="24"/>
        </w:rPr>
      </w:pPr>
      <w:r w:rsidDel="00000000" w:rsidR="00000000" w:rsidRPr="00000000">
        <w:rPr>
          <w:rFonts w:ascii="Play" w:cs="Play" w:eastAsia="Play" w:hAnsi="Play"/>
          <w:b w:val="1"/>
          <w:bCs w:val="1"/>
          <w:sz w:val="24"/>
          <w:szCs w:val="24"/>
          <w:rtl w:val="0"/>
        </w:rPr>
        <w:t xml:space="preserve">Phase 3: Moving from Intentions to Actionable Goals (10 Minutes)</w:t>
      </w:r>
    </w:p>
    <w:p w:rsidR="00000000" w:rsidDel="00000000" w:rsidP="00000000" w:rsidRDefault="00000000" w:rsidRPr="00000000" w14:paraId="00000021">
      <w:pPr>
        <w:numPr>
          <w:ilvl w:val="0"/>
          <w:numId w:val="10"/>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The "SDG Overload" Error:</w:t>
      </w:r>
      <w:r w:rsidDel="00000000" w:rsidR="00000000" w:rsidRPr="00000000">
        <w:rPr>
          <w:rFonts w:ascii="Play" w:cs="Play" w:eastAsia="Play" w:hAnsi="Play"/>
          <w:sz w:val="24"/>
          <w:szCs w:val="24"/>
          <w:rtl w:val="0"/>
        </w:rPr>
        <w:t xml:space="preserve"> Early-stage green companies frequently weaken their business plan by claiming symbolic alignment with 8 or more UN Sustainable Development Goals simultaneously. This creates strategic confusion and superficial reporting. Instructors must direct students to isolate 2–3 core focus areas (e.g., SDG 5 and SDG 12) and translate them into explicit, operational business targets.</w:t>
      </w:r>
    </w:p>
    <w:p w:rsidR="00000000" w:rsidDel="00000000" w:rsidP="00000000" w:rsidRDefault="00000000" w:rsidRPr="00000000" w14:paraId="00000022">
      <w:pPr>
        <w:spacing w:line="360" w:lineRule="auto"/>
        <w:jc w:val="both"/>
        <w:rPr>
          <w:rFonts w:ascii="Play" w:cs="Play" w:eastAsia="Play" w:hAnsi="Play"/>
          <w:b w:val="1"/>
          <w:bCs w:val="1"/>
          <w:sz w:val="24"/>
          <w:szCs w:val="24"/>
        </w:rPr>
      </w:pPr>
      <w:r w:rsidDel="00000000" w:rsidR="00000000" w:rsidRPr="00000000">
        <w:rPr>
          <w:rFonts w:ascii="Play" w:cs="Play" w:eastAsia="Play" w:hAnsi="Play"/>
          <w:b w:val="1"/>
          <w:bCs w:val="1"/>
          <w:sz w:val="24"/>
          <w:szCs w:val="24"/>
          <w:rtl w:val="0"/>
        </w:rPr>
        <w:t xml:space="preserve">The Three Pillars of an Actionable Goal</w:t>
      </w:r>
    </w:p>
    <w:p w:rsidR="00000000" w:rsidDel="00000000" w:rsidP="00000000" w:rsidRDefault="00000000" w:rsidRPr="00000000" w14:paraId="00000023">
      <w:pPr>
        <w:spacing w:line="360" w:lineRule="auto"/>
        <w:jc w:val="both"/>
        <w:rPr>
          <w:rFonts w:ascii="Play" w:cs="Play" w:eastAsia="Play" w:hAnsi="Play"/>
          <w:sz w:val="24"/>
          <w:szCs w:val="24"/>
        </w:rPr>
      </w:pPr>
      <w:r w:rsidDel="00000000" w:rsidR="00000000" w:rsidRPr="00000000">
        <w:rPr>
          <w:rFonts w:ascii="Play" w:cs="Play" w:eastAsia="Play" w:hAnsi="Play"/>
          <w:sz w:val="24"/>
          <w:szCs w:val="24"/>
          <w:rtl w:val="0"/>
        </w:rPr>
        <w:t xml:space="preserve">Explain that every single operational milestone written into a business plan must feature three precise structural pillars:</w:t>
      </w:r>
    </w:p>
    <w:p w:rsidR="00000000" w:rsidDel="00000000" w:rsidP="00000000" w:rsidRDefault="00000000" w:rsidRPr="00000000" w14:paraId="00000024">
      <w:pPr>
        <w:numPr>
          <w:ilvl w:val="0"/>
          <w:numId w:val="11"/>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What exactly will change?</w:t>
      </w:r>
      <w:r w:rsidDel="00000000" w:rsidR="00000000" w:rsidRPr="00000000">
        <w:rPr>
          <w:rFonts w:ascii="Play" w:cs="Play" w:eastAsia="Play" w:hAnsi="Play"/>
          <w:sz w:val="24"/>
          <w:szCs w:val="24"/>
          <w:rtl w:val="0"/>
        </w:rPr>
        <w:t xml:space="preserve"> Pinpoint the exact operational metric or baseline behavior under management. </w:t>
      </w:r>
    </w:p>
    <w:p w:rsidR="00000000" w:rsidDel="00000000" w:rsidP="00000000" w:rsidRDefault="00000000" w:rsidRPr="00000000" w14:paraId="00000025">
      <w:pPr>
        <w:numPr>
          <w:ilvl w:val="0"/>
          <w:numId w:val="11"/>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By how much?</w:t>
      </w:r>
      <w:r w:rsidDel="00000000" w:rsidR="00000000" w:rsidRPr="00000000">
        <w:rPr>
          <w:rFonts w:ascii="Play" w:cs="Play" w:eastAsia="Play" w:hAnsi="Play"/>
          <w:sz w:val="24"/>
          <w:szCs w:val="24"/>
          <w:rtl w:val="0"/>
        </w:rPr>
        <w:t xml:space="preserve"> List the explicit, quantifiable volume or percentage change required. </w:t>
      </w:r>
    </w:p>
    <w:p w:rsidR="00000000" w:rsidDel="00000000" w:rsidP="00000000" w:rsidRDefault="00000000" w:rsidRPr="00000000" w14:paraId="00000026">
      <w:pPr>
        <w:numPr>
          <w:ilvl w:val="0"/>
          <w:numId w:val="11"/>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Within what timeframe?</w:t>
      </w:r>
      <w:r w:rsidDel="00000000" w:rsidR="00000000" w:rsidRPr="00000000">
        <w:rPr>
          <w:rFonts w:ascii="Play" w:cs="Play" w:eastAsia="Play" w:hAnsi="Play"/>
          <w:sz w:val="24"/>
          <w:szCs w:val="24"/>
          <w:rtl w:val="0"/>
        </w:rPr>
        <w:t xml:space="preserve"> Set definitive, time-bound deadlines and project milestones.</w:t>
      </w:r>
    </w:p>
    <w:p w:rsidR="00000000" w:rsidDel="00000000" w:rsidP="00000000" w:rsidRDefault="00000000" w:rsidRPr="00000000" w14:paraId="00000027">
      <w:pPr>
        <w:numPr>
          <w:ilvl w:val="0"/>
          <w:numId w:val="12"/>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Weak Planet Intention:</w:t>
      </w:r>
      <w:r w:rsidDel="00000000" w:rsidR="00000000" w:rsidRPr="00000000">
        <w:rPr>
          <w:rFonts w:ascii="Play" w:cs="Play" w:eastAsia="Play" w:hAnsi="Play"/>
          <w:sz w:val="24"/>
          <w:szCs w:val="24"/>
          <w:rtl w:val="0"/>
        </w:rPr>
        <w:t xml:space="preserve"> "We want to reduce our packaging waste." </w:t>
      </w:r>
    </w:p>
    <w:p w:rsidR="00000000" w:rsidDel="00000000" w:rsidP="00000000" w:rsidRDefault="00000000" w:rsidRPr="00000000" w14:paraId="00000028">
      <w:pPr>
        <w:numPr>
          <w:ilvl w:val="0"/>
          <w:numId w:val="12"/>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Strong Operational Goal:</w:t>
      </w:r>
      <w:r w:rsidDel="00000000" w:rsidR="00000000" w:rsidRPr="00000000">
        <w:rPr>
          <w:rFonts w:ascii="Play" w:cs="Play" w:eastAsia="Play" w:hAnsi="Play"/>
          <w:sz w:val="24"/>
          <w:szCs w:val="24"/>
          <w:rtl w:val="0"/>
        </w:rPr>
        <w:t xml:space="preserve"> "We will reduce our post-consumer packaging waste by 50% within the first 12 months of operation." </w:t>
      </w:r>
    </w:p>
    <w:p w:rsidR="00000000" w:rsidDel="00000000" w:rsidP="00000000" w:rsidRDefault="00000000" w:rsidRPr="00000000" w14:paraId="00000029">
      <w:pPr>
        <w:numPr>
          <w:ilvl w:val="0"/>
          <w:numId w:val="12"/>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Weak People Intention:</w:t>
      </w:r>
      <w:r w:rsidDel="00000000" w:rsidR="00000000" w:rsidRPr="00000000">
        <w:rPr>
          <w:rFonts w:ascii="Play" w:cs="Play" w:eastAsia="Play" w:hAnsi="Play"/>
          <w:sz w:val="24"/>
          <w:szCs w:val="24"/>
          <w:rtl w:val="0"/>
        </w:rPr>
        <w:t xml:space="preserve"> "We want to empower women in our community." </w:t>
      </w:r>
    </w:p>
    <w:p w:rsidR="00000000" w:rsidDel="00000000" w:rsidP="00000000" w:rsidRDefault="00000000" w:rsidRPr="00000000" w14:paraId="0000002A">
      <w:pPr>
        <w:numPr>
          <w:ilvl w:val="0"/>
          <w:numId w:val="12"/>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Strong Operational Goal:</w:t>
      </w:r>
      <w:r w:rsidDel="00000000" w:rsidR="00000000" w:rsidRPr="00000000">
        <w:rPr>
          <w:rFonts w:ascii="Play" w:cs="Play" w:eastAsia="Play" w:hAnsi="Play"/>
          <w:sz w:val="24"/>
          <w:szCs w:val="24"/>
          <w:rtl w:val="0"/>
        </w:rPr>
        <w:t xml:space="preserve"> "We will bring 3 local women into executive management positions by the end of Q3 2025." </w:t>
      </w:r>
    </w:p>
    <w:p w:rsidR="00000000" w:rsidDel="00000000" w:rsidP="00000000" w:rsidRDefault="00000000" w:rsidRPr="00000000" w14:paraId="0000002B">
      <w:pPr>
        <w:spacing w:line="360" w:lineRule="auto"/>
        <w:jc w:val="both"/>
        <w:rPr>
          <w:rFonts w:ascii="Play" w:cs="Play" w:eastAsia="Play" w:hAnsi="Play"/>
          <w:b w:val="1"/>
          <w:bCs w:val="1"/>
          <w:sz w:val="24"/>
          <w:szCs w:val="24"/>
        </w:rPr>
      </w:pPr>
      <w:r w:rsidDel="00000000" w:rsidR="00000000" w:rsidRPr="00000000">
        <w:rPr>
          <w:rFonts w:ascii="Play" w:cs="Play" w:eastAsia="Play" w:hAnsi="Play"/>
          <w:b w:val="1"/>
          <w:bCs w:val="1"/>
          <w:sz w:val="24"/>
          <w:szCs w:val="24"/>
          <w:rtl w:val="0"/>
        </w:rPr>
        <w:t xml:space="preserve">Phase 4: Financial Planning Architecture &amp; Risk Matrices (10 Minutes)</w:t>
      </w:r>
    </w:p>
    <w:p w:rsidR="00000000" w:rsidDel="00000000" w:rsidP="00000000" w:rsidRDefault="00000000" w:rsidRPr="00000000" w14:paraId="0000002C">
      <w:pPr>
        <w:numPr>
          <w:ilvl w:val="0"/>
          <w:numId w:val="13"/>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The Structural Cost Shift:</w:t>
      </w:r>
      <w:r w:rsidDel="00000000" w:rsidR="00000000" w:rsidRPr="00000000">
        <w:rPr>
          <w:rFonts w:ascii="Play" w:cs="Play" w:eastAsia="Play" w:hAnsi="Play"/>
          <w:sz w:val="24"/>
          <w:szCs w:val="24"/>
          <w:rtl w:val="0"/>
        </w:rPr>
        <w:t xml:space="preserve"> Green ventures exhibit a distinct "front-loaded investment / back-loaded savings" financial model. Upfront capital asset requirements (certified raw goods, fair wages, specialized machinery, audit cycles) are relatively high, but they unlock systemic operational savings over a 3-to-10-year horizon through superior resource efficiency and reduced waste. </w:t>
      </w:r>
    </w:p>
    <w:p w:rsidR="00000000" w:rsidDel="00000000" w:rsidP="00000000" w:rsidRDefault="00000000" w:rsidRPr="00000000" w14:paraId="0000002D">
      <w:pPr>
        <w:numPr>
          <w:ilvl w:val="0"/>
          <w:numId w:val="13"/>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Calibrating Financial Assumptions:</w:t>
      </w:r>
      <w:r w:rsidDel="00000000" w:rsidR="00000000" w:rsidRPr="00000000">
        <w:rPr>
          <w:rtl w:val="0"/>
        </w:rPr>
      </w:r>
    </w:p>
    <w:p w:rsidR="00000000" w:rsidDel="00000000" w:rsidP="00000000" w:rsidRDefault="00000000" w:rsidRPr="00000000" w14:paraId="0000002E">
      <w:pPr>
        <w:numPr>
          <w:ilvl w:val="1"/>
          <w:numId w:val="13"/>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Willingness to Pay (WTP):</w:t>
      </w:r>
      <w:r w:rsidDel="00000000" w:rsidR="00000000" w:rsidRPr="00000000">
        <w:rPr>
          <w:rFonts w:ascii="Play" w:cs="Play" w:eastAsia="Play" w:hAnsi="Play"/>
          <w:sz w:val="24"/>
          <w:szCs w:val="24"/>
          <w:rtl w:val="0"/>
        </w:rPr>
        <w:t xml:space="preserve"> Conservative projections must bypass soft consumer survey responses. Empirical baseline data from Trudel and Cotte (2009) confirms that actual average premium price tolerance for ethical goods tops out at 5–10%. </w:t>
      </w:r>
    </w:p>
    <w:p w:rsidR="00000000" w:rsidDel="00000000" w:rsidP="00000000" w:rsidRDefault="00000000" w:rsidRPr="00000000" w14:paraId="0000002F">
      <w:pPr>
        <w:numPr>
          <w:ilvl w:val="1"/>
          <w:numId w:val="13"/>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Efficiency Modeling:</w:t>
      </w:r>
      <w:r w:rsidDel="00000000" w:rsidR="00000000" w:rsidRPr="00000000">
        <w:rPr>
          <w:rFonts w:ascii="Play" w:cs="Play" w:eastAsia="Play" w:hAnsi="Play"/>
          <w:sz w:val="24"/>
          <w:szCs w:val="24"/>
          <w:rtl w:val="0"/>
        </w:rPr>
        <w:t xml:space="preserve"> Calculate exact savings metrics. SME manufacturing upgrades yield an average 15–30% drop in total energy bills (OECD, 2021). Material waste reductions can recapture 10–25% of total input material procurement costs. </w:t>
      </w:r>
    </w:p>
    <w:p w:rsidR="00000000" w:rsidDel="00000000" w:rsidP="00000000" w:rsidRDefault="00000000" w:rsidRPr="00000000" w14:paraId="00000030">
      <w:pPr>
        <w:numPr>
          <w:ilvl w:val="0"/>
          <w:numId w:val="13"/>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Sensitivity Analysis (The Three-Scenario Framework):</w:t>
      </w:r>
      <w:r w:rsidDel="00000000" w:rsidR="00000000" w:rsidRPr="00000000">
        <w:rPr>
          <w:rFonts w:ascii="Play" w:cs="Play" w:eastAsia="Play" w:hAnsi="Play"/>
          <w:sz w:val="24"/>
          <w:szCs w:val="24"/>
          <w:rtl w:val="0"/>
        </w:rPr>
        <w:t xml:space="preserve"> Projections must model Best-Case (rapid market adoption), Base-Case (gradual market adoption), and Worst-Case (slow adoption coupled with supply chain cost hikes) environments.</w:t>
      </w:r>
    </w:p>
    <w:p w:rsidR="00000000" w:rsidDel="00000000" w:rsidP="00000000" w:rsidRDefault="00000000" w:rsidRPr="00000000" w14:paraId="00000031">
      <w:pPr>
        <w:spacing w:line="360" w:lineRule="auto"/>
        <w:jc w:val="both"/>
        <w:rPr>
          <w:rFonts w:ascii="Play" w:cs="Play" w:eastAsia="Play" w:hAnsi="Play"/>
          <w:sz w:val="24"/>
          <w:szCs w:val="24"/>
        </w:rPr>
      </w:pPr>
      <w:r w:rsidDel="00000000" w:rsidR="00000000" w:rsidRPr="00000000">
        <w:rPr>
          <w:rFonts w:ascii="Play" w:cs="Play" w:eastAsia="Play" w:hAnsi="Play"/>
          <w:sz w:val="24"/>
          <w:szCs w:val="24"/>
          <w:rtl w:val="0"/>
        </w:rPr>
        <w:t xml:space="preserve">Green Risk Category Mitigation Grid </w:t>
      </w:r>
    </w:p>
    <w:p w:rsidR="00000000" w:rsidDel="00000000" w:rsidP="00000000" w:rsidRDefault="00000000" w:rsidRPr="00000000" w14:paraId="00000032">
      <w:pPr>
        <w:spacing w:line="360" w:lineRule="auto"/>
        <w:jc w:val="both"/>
        <w:rPr>
          <w:rFonts w:ascii="Play" w:cs="Play" w:eastAsia="Play" w:hAnsi="Play"/>
          <w:sz w:val="24"/>
          <w:szCs w:val="24"/>
        </w:rPr>
      </w:pPr>
      <w:r w:rsidDel="00000000" w:rsidR="00000000" w:rsidRPr="00000000">
        <w:rPr>
          <w:rFonts w:ascii="Play" w:cs="Play" w:eastAsia="Play" w:hAnsi="Play"/>
          <w:sz w:val="24"/>
          <w:szCs w:val="24"/>
          <w:rtl w:val="0"/>
        </w:rPr>
        <w:t xml:space="preserve">Instructors can walk students through this specific multi-risk mitigation matrix:</w:t>
      </w:r>
    </w:p>
    <w:p w:rsidR="00000000" w:rsidDel="00000000" w:rsidP="00000000" w:rsidRDefault="00000000" w:rsidRPr="00000000" w14:paraId="00000033">
      <w:pPr>
        <w:numPr>
          <w:ilvl w:val="0"/>
          <w:numId w:val="2"/>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Regulatory Risk:</w:t>
      </w:r>
      <w:r w:rsidDel="00000000" w:rsidR="00000000" w:rsidRPr="00000000">
        <w:rPr>
          <w:rFonts w:ascii="Play" w:cs="Play" w:eastAsia="Play" w:hAnsi="Play"/>
          <w:sz w:val="24"/>
          <w:szCs w:val="24"/>
          <w:rtl w:val="0"/>
        </w:rPr>
        <w:t xml:space="preserve"> Policy reversals or changes to mandatory environmental compliance standards. </w:t>
      </w:r>
      <w:r w:rsidDel="00000000" w:rsidR="00000000" w:rsidRPr="00000000">
        <w:rPr>
          <w:rFonts w:ascii="Play" w:cs="Play" w:eastAsia="Play" w:hAnsi="Play"/>
          <w:i w:val="1"/>
          <w:iCs w:val="1"/>
          <w:sz w:val="24"/>
          <w:szCs w:val="24"/>
          <w:rtl w:val="0"/>
        </w:rPr>
        <w:t xml:space="preserve">Mitigation:</w:t>
      </w:r>
      <w:r w:rsidDel="00000000" w:rsidR="00000000" w:rsidRPr="00000000">
        <w:rPr>
          <w:rFonts w:ascii="Play" w:cs="Play" w:eastAsia="Play" w:hAnsi="Play"/>
          <w:sz w:val="24"/>
          <w:szCs w:val="24"/>
          <w:rtl w:val="0"/>
        </w:rPr>
        <w:t xml:space="preserve"> Conduct systematic market scenario planning and monitor legislative pipelines proactively. </w:t>
      </w:r>
    </w:p>
    <w:p w:rsidR="00000000" w:rsidDel="00000000" w:rsidP="00000000" w:rsidRDefault="00000000" w:rsidRPr="00000000" w14:paraId="00000034">
      <w:pPr>
        <w:numPr>
          <w:ilvl w:val="0"/>
          <w:numId w:val="2"/>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Supply Chain Risk:</w:t>
      </w:r>
      <w:r w:rsidDel="00000000" w:rsidR="00000000" w:rsidRPr="00000000">
        <w:rPr>
          <w:rFonts w:ascii="Play" w:cs="Play" w:eastAsia="Play" w:hAnsi="Play"/>
          <w:sz w:val="24"/>
          <w:szCs w:val="24"/>
          <w:rtl w:val="0"/>
        </w:rPr>
        <w:t xml:space="preserve"> Disruption to certified input access due to geographic concentration or extreme climate fluctuations. </w:t>
      </w:r>
      <w:r w:rsidDel="00000000" w:rsidR="00000000" w:rsidRPr="00000000">
        <w:rPr>
          <w:rFonts w:ascii="Play" w:cs="Play" w:eastAsia="Play" w:hAnsi="Play"/>
          <w:i w:val="1"/>
          <w:iCs w:val="1"/>
          <w:sz w:val="24"/>
          <w:szCs w:val="24"/>
          <w:rtl w:val="0"/>
        </w:rPr>
        <w:t xml:space="preserve">Mitigation:</w:t>
      </w:r>
      <w:r w:rsidDel="00000000" w:rsidR="00000000" w:rsidRPr="00000000">
        <w:rPr>
          <w:rFonts w:ascii="Play" w:cs="Play" w:eastAsia="Play" w:hAnsi="Play"/>
          <w:sz w:val="24"/>
          <w:szCs w:val="24"/>
          <w:rtl w:val="0"/>
        </w:rPr>
        <w:t xml:space="preserve"> Pre-qualify alternate certified backup suppliers and establish safety buffer stock policies. </w:t>
      </w:r>
    </w:p>
    <w:p w:rsidR="00000000" w:rsidDel="00000000" w:rsidP="00000000" w:rsidRDefault="00000000" w:rsidRPr="00000000" w14:paraId="00000035">
      <w:pPr>
        <w:numPr>
          <w:ilvl w:val="0"/>
          <w:numId w:val="2"/>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Market Acceptance Risk:</w:t>
      </w:r>
      <w:r w:rsidDel="00000000" w:rsidR="00000000" w:rsidRPr="00000000">
        <w:rPr>
          <w:rFonts w:ascii="Play" w:cs="Play" w:eastAsia="Play" w:hAnsi="Play"/>
          <w:sz w:val="24"/>
          <w:szCs w:val="24"/>
          <w:rtl w:val="0"/>
        </w:rPr>
        <w:t xml:space="preserve"> Sluggish customer conversion cycles driven by consumer economic contractions. </w:t>
      </w:r>
      <w:r w:rsidDel="00000000" w:rsidR="00000000" w:rsidRPr="00000000">
        <w:rPr>
          <w:rFonts w:ascii="Play" w:cs="Play" w:eastAsia="Play" w:hAnsi="Play"/>
          <w:i w:val="1"/>
          <w:iCs w:val="1"/>
          <w:sz w:val="24"/>
          <w:szCs w:val="24"/>
          <w:rtl w:val="0"/>
        </w:rPr>
        <w:t xml:space="preserve">Mitigation:</w:t>
      </w:r>
      <w:r w:rsidDel="00000000" w:rsidR="00000000" w:rsidRPr="00000000">
        <w:rPr>
          <w:rFonts w:ascii="Play" w:cs="Play" w:eastAsia="Play" w:hAnsi="Play"/>
          <w:sz w:val="24"/>
          <w:szCs w:val="24"/>
          <w:rtl w:val="0"/>
        </w:rPr>
        <w:t xml:space="preserve"> Deploy target segments with diverse price sensitivities and emphasize clear health or cost-saving benefits. </w:t>
      </w:r>
    </w:p>
    <w:p w:rsidR="00000000" w:rsidDel="00000000" w:rsidP="00000000" w:rsidRDefault="00000000" w:rsidRPr="00000000" w14:paraId="00000036">
      <w:pPr>
        <w:numPr>
          <w:ilvl w:val="0"/>
          <w:numId w:val="2"/>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Reputational Risk:</w:t>
      </w:r>
      <w:r w:rsidDel="00000000" w:rsidR="00000000" w:rsidRPr="00000000">
        <w:rPr>
          <w:rFonts w:ascii="Play" w:cs="Play" w:eastAsia="Play" w:hAnsi="Play"/>
          <w:sz w:val="24"/>
          <w:szCs w:val="24"/>
          <w:rtl w:val="0"/>
        </w:rPr>
        <w:t xml:space="preserve"> Misalignment between public messaging and actual operations, triggering rapid viral social media backlashes. </w:t>
      </w:r>
      <w:r w:rsidDel="00000000" w:rsidR="00000000" w:rsidRPr="00000000">
        <w:rPr>
          <w:rFonts w:ascii="Play" w:cs="Play" w:eastAsia="Play" w:hAnsi="Play"/>
          <w:i w:val="1"/>
          <w:iCs w:val="1"/>
          <w:sz w:val="24"/>
          <w:szCs w:val="24"/>
          <w:rtl w:val="0"/>
        </w:rPr>
        <w:t xml:space="preserve">Mitigation:</w:t>
      </w:r>
      <w:r w:rsidDel="00000000" w:rsidR="00000000" w:rsidRPr="00000000">
        <w:rPr>
          <w:rFonts w:ascii="Play" w:cs="Play" w:eastAsia="Play" w:hAnsi="Play"/>
          <w:sz w:val="24"/>
          <w:szCs w:val="24"/>
          <w:rtl w:val="0"/>
        </w:rPr>
        <w:t xml:space="preserve"> Implement strict anti-greenwashing claim validation protocols and publish transparent limitations reports. </w:t>
      </w:r>
    </w:p>
    <w:p w:rsidR="00000000" w:rsidDel="00000000" w:rsidP="00000000" w:rsidRDefault="00000000" w:rsidRPr="00000000" w14:paraId="00000037">
      <w:pPr>
        <w:spacing w:line="360" w:lineRule="auto"/>
        <w:jc w:val="both"/>
        <w:rPr>
          <w:rFonts w:ascii="Play" w:cs="Play" w:eastAsia="Play" w:hAnsi="Play"/>
          <w:b w:val="1"/>
          <w:bCs w:val="1"/>
          <w:sz w:val="24"/>
          <w:szCs w:val="24"/>
        </w:rPr>
      </w:pPr>
      <w:r w:rsidDel="00000000" w:rsidR="00000000" w:rsidRPr="00000000">
        <w:rPr>
          <w:rFonts w:ascii="Play" w:cs="Play" w:eastAsia="Play" w:hAnsi="Play"/>
          <w:b w:val="1"/>
          <w:bCs w:val="1"/>
          <w:sz w:val="24"/>
          <w:szCs w:val="24"/>
          <w:rtl w:val="0"/>
        </w:rPr>
        <w:t xml:space="preserve">Phase 5: Drafting the Concise Logic Model Plan (5 Minutes)</w:t>
      </w:r>
    </w:p>
    <w:p w:rsidR="00000000" w:rsidDel="00000000" w:rsidP="00000000" w:rsidRDefault="00000000" w:rsidRPr="00000000" w14:paraId="00000038">
      <w:pPr>
        <w:numPr>
          <w:ilvl w:val="0"/>
          <w:numId w:val="3"/>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The Sequential Logic Flow:</w:t>
      </w:r>
      <w:r w:rsidDel="00000000" w:rsidR="00000000" w:rsidRPr="00000000">
        <w:rPr>
          <w:rFonts w:ascii="Play" w:cs="Play" w:eastAsia="Play" w:hAnsi="Play"/>
          <w:sz w:val="24"/>
          <w:szCs w:val="24"/>
          <w:rtl w:val="0"/>
        </w:rPr>
        <w:t xml:space="preserve"> Ensure the concise green plan flows logically as follows: </w:t>
      </w:r>
      <w:r w:rsidDel="00000000" w:rsidR="00000000" w:rsidRPr="00000000">
        <w:rPr>
          <w:rFonts w:ascii="Play" w:cs="Play" w:eastAsia="Play" w:hAnsi="Play"/>
          <w:i w:val="1"/>
          <w:iCs w:val="1"/>
          <w:sz w:val="24"/>
          <w:szCs w:val="24"/>
          <w:rtl w:val="0"/>
        </w:rPr>
        <w:t xml:space="preserve">Problem $\rightarrow$ Solution $\</w:t>
      </w:r>
      <w:sdt>
        <w:sdtPr>
          <w:id w:val="1624619069"/>
          <w:tag w:val="goog_rdk_4"/>
        </w:sdtPr>
        <w:sdtContent>
          <w:r w:rsidDel="00000000" w:rsidR="00000000" w:rsidRPr="00000000">
            <w:rPr>
              <w:rFonts w:ascii="Arial Unicode MS" w:cs="Arial Unicode MS" w:eastAsia="Arial Unicode MS" w:hAnsi="Arial Unicode MS"/>
              <w:i w:val="1"/>
              <w:iCs w:val="1"/>
              <w:sz w:val="24"/>
              <w:szCs w:val="24"/>
              <w:rtl w:val="0"/>
            </w:rPr>
            <w:t xml:space="preserve">➔</w:t>
          </w:r>
        </w:sdtContent>
      </w:sdt>
      <w:r w:rsidDel="00000000" w:rsidR="00000000" w:rsidRPr="00000000">
        <w:rPr>
          <w:rFonts w:ascii="Play" w:cs="Play" w:eastAsia="Play" w:hAnsi="Play"/>
          <w:i w:val="1"/>
          <w:iCs w:val="1"/>
          <w:sz w:val="24"/>
          <w:szCs w:val="24"/>
          <w:rtl w:val="0"/>
        </w:rPr>
        <w:t xml:space="preserve">$ Value Creation $\rightarrow$ Feasibility $\rightarrow$ Impact</w:t>
      </w:r>
      <w:r w:rsidDel="00000000" w:rsidR="00000000" w:rsidRPr="00000000">
        <w:rPr>
          <w:rFonts w:ascii="Play" w:cs="Play" w:eastAsia="Play" w:hAnsi="Play"/>
          <w:sz w:val="24"/>
          <w:szCs w:val="24"/>
          <w:rtl w:val="0"/>
        </w:rPr>
        <w:t xml:space="preserve">.</w:t>
      </w:r>
    </w:p>
    <w:p w:rsidR="00000000" w:rsidDel="00000000" w:rsidP="00000000" w:rsidRDefault="00000000" w:rsidRPr="00000000" w14:paraId="00000039">
      <w:pPr>
        <w:numPr>
          <w:ilvl w:val="0"/>
          <w:numId w:val="3"/>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Evidence-Based Drafting Standards:</w:t>
      </w:r>
      <w:r w:rsidDel="00000000" w:rsidR="00000000" w:rsidRPr="00000000">
        <w:rPr>
          <w:rFonts w:ascii="Play" w:cs="Play" w:eastAsia="Play" w:hAnsi="Play"/>
          <w:sz w:val="24"/>
          <w:szCs w:val="24"/>
          <w:rtl w:val="0"/>
        </w:rPr>
        <w:t xml:space="preserve"> Instruct students to immediately audit their document copy and eliminate broad emotional declarations. Replace vague assumptions with verifiable, analytical market metrics: </w:t>
      </w:r>
    </w:p>
    <w:p w:rsidR="00000000" w:rsidDel="00000000" w:rsidP="00000000" w:rsidRDefault="00000000" w:rsidRPr="00000000" w14:paraId="0000003A">
      <w:pPr>
        <w:numPr>
          <w:ilvl w:val="1"/>
          <w:numId w:val="3"/>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Weak Optimistic Statement:</w:t>
      </w:r>
      <w:r w:rsidDel="00000000" w:rsidR="00000000" w:rsidRPr="00000000">
        <w:rPr>
          <w:rFonts w:ascii="Play" w:cs="Play" w:eastAsia="Play" w:hAnsi="Play"/>
          <w:sz w:val="24"/>
          <w:szCs w:val="24"/>
          <w:rtl w:val="0"/>
        </w:rPr>
        <w:t xml:space="preserve"> "We believe customers will prefer our product." </w:t>
      </w:r>
    </w:p>
    <w:p w:rsidR="00000000" w:rsidDel="00000000" w:rsidP="00000000" w:rsidRDefault="00000000" w:rsidRPr="00000000" w14:paraId="0000003B">
      <w:pPr>
        <w:numPr>
          <w:ilvl w:val="1"/>
          <w:numId w:val="3"/>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i w:val="1"/>
          <w:iCs w:val="1"/>
          <w:sz w:val="24"/>
          <w:szCs w:val="24"/>
          <w:rtl w:val="0"/>
        </w:rPr>
        <w:t xml:space="preserve">Strong Analytical Statement:</w:t>
      </w:r>
      <w:r w:rsidDel="00000000" w:rsidR="00000000" w:rsidRPr="00000000">
        <w:rPr>
          <w:rFonts w:ascii="Play" w:cs="Play" w:eastAsia="Play" w:hAnsi="Play"/>
          <w:sz w:val="24"/>
          <w:szCs w:val="24"/>
          <w:rtl w:val="0"/>
        </w:rPr>
        <w:t xml:space="preserve"> "Survey data from 120 respondents indicates that 65% would consider switching to refill systems if costs remain within 10% of conventional alternatives." </w:t>
      </w:r>
    </w:p>
    <w:p w:rsidR="00000000" w:rsidDel="00000000" w:rsidP="00000000" w:rsidRDefault="00000000" w:rsidRPr="00000000" w14:paraId="0000003C">
      <w:pPr>
        <w:spacing w:line="360" w:lineRule="auto"/>
        <w:jc w:val="both"/>
        <w:rPr>
          <w:rFonts w:ascii="Play" w:cs="Play" w:eastAsia="Play" w:hAnsi="Play"/>
          <w:b w:val="1"/>
          <w:bCs w:val="1"/>
          <w:sz w:val="24"/>
          <w:szCs w:val="24"/>
        </w:rPr>
      </w:pPr>
      <w:r w:rsidDel="00000000" w:rsidR="00000000" w:rsidRPr="00000000">
        <w:rPr>
          <w:rFonts w:ascii="Play" w:cs="Play" w:eastAsia="Play" w:hAnsi="Play"/>
          <w:b w:val="1"/>
          <w:bCs w:val="1"/>
          <w:sz w:val="24"/>
          <w:szCs w:val="24"/>
          <w:rtl w:val="0"/>
        </w:rPr>
        <w:t xml:space="preserve">3. Practical Classroom Application</w:t>
      </w:r>
    </w:p>
    <w:p w:rsidR="00000000" w:rsidDel="00000000" w:rsidP="00000000" w:rsidRDefault="00000000" w:rsidRPr="00000000" w14:paraId="0000003D">
      <w:pPr>
        <w:spacing w:line="360" w:lineRule="auto"/>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Exercise Title:</w:t>
      </w:r>
      <w:r w:rsidDel="00000000" w:rsidR="00000000" w:rsidRPr="00000000">
        <w:rPr>
          <w:rFonts w:ascii="Play" w:cs="Play" w:eastAsia="Play" w:hAnsi="Play"/>
          <w:sz w:val="24"/>
          <w:szCs w:val="24"/>
          <w:rtl w:val="0"/>
        </w:rPr>
        <w:t xml:space="preserve"> "The Dual-Value Proposition &amp; Assumption Audit"</w:t>
      </w:r>
    </w:p>
    <w:p w:rsidR="00000000" w:rsidDel="00000000" w:rsidP="00000000" w:rsidRDefault="00000000" w:rsidRPr="00000000" w14:paraId="0000003E">
      <w:pPr>
        <w:numPr>
          <w:ilvl w:val="0"/>
          <w:numId w:val="4"/>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Instructor Instructions:</w:t>
      </w:r>
      <w:r w:rsidDel="00000000" w:rsidR="00000000" w:rsidRPr="00000000">
        <w:rPr>
          <w:rFonts w:ascii="Play" w:cs="Play" w:eastAsia="Play" w:hAnsi="Play"/>
          <w:sz w:val="24"/>
          <w:szCs w:val="24"/>
          <w:rtl w:val="0"/>
        </w:rPr>
        <w:t xml:space="preserve"> Organize the class into working pairs. Direct each team to open their business plan drafts and execute an explicit </w:t>
      </w:r>
      <w:r w:rsidDel="00000000" w:rsidR="00000000" w:rsidRPr="00000000">
        <w:rPr>
          <w:rFonts w:ascii="Play" w:cs="Play" w:eastAsia="Play" w:hAnsi="Play"/>
          <w:i w:val="1"/>
          <w:iCs w:val="1"/>
          <w:sz w:val="24"/>
          <w:szCs w:val="24"/>
          <w:rtl w:val="0"/>
        </w:rPr>
        <w:t xml:space="preserve">Value Proposition Block Audit</w:t>
      </w:r>
      <w:r w:rsidDel="00000000" w:rsidR="00000000" w:rsidRPr="00000000">
        <w:rPr>
          <w:rFonts w:ascii="Play" w:cs="Play" w:eastAsia="Play" w:hAnsi="Play"/>
          <w:sz w:val="24"/>
          <w:szCs w:val="24"/>
          <w:rtl w:val="0"/>
        </w:rPr>
        <w:t xml:space="preserve">.</w:t>
      </w:r>
    </w:p>
    <w:p w:rsidR="00000000" w:rsidDel="00000000" w:rsidP="00000000" w:rsidRDefault="00000000" w:rsidRPr="00000000" w14:paraId="0000003F">
      <w:pPr>
        <w:numPr>
          <w:ilvl w:val="0"/>
          <w:numId w:val="4"/>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The Tasks:</w:t>
      </w:r>
      <w:r w:rsidDel="00000000" w:rsidR="00000000" w:rsidRPr="00000000">
        <w:rPr>
          <w:rtl w:val="0"/>
        </w:rPr>
      </w:r>
    </w:p>
    <w:p w:rsidR="00000000" w:rsidDel="00000000" w:rsidP="00000000" w:rsidRDefault="00000000" w:rsidRPr="00000000" w14:paraId="00000040">
      <w:pPr>
        <w:numPr>
          <w:ilvl w:val="1"/>
          <w:numId w:val="4"/>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Draw a clean vertical line down the middle of their Value Proposition block. On the left, list clear customer gains (price, styling, user convenience) ; on the right, list verifiable environmental impact claims (liters of water saved, packaging material eliminated). If either side is missing or weak, rewrite the core product offer. </w:t>
      </w:r>
    </w:p>
    <w:p w:rsidR="00000000" w:rsidDel="00000000" w:rsidP="00000000" w:rsidRDefault="00000000" w:rsidRPr="00000000" w14:paraId="00000041">
      <w:pPr>
        <w:numPr>
          <w:ilvl w:val="1"/>
          <w:numId w:val="4"/>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Highlight every single occurrence of the words "eco-friendly," "green," or "sustainable". Force the team to replace those vague attribute terms with a precise, quantified benefit statement supported by proxy data or clear industry benchmarks. </w:t>
      </w:r>
    </w:p>
    <w:p w:rsidR="00000000" w:rsidDel="00000000" w:rsidP="00000000" w:rsidRDefault="00000000" w:rsidRPr="00000000" w14:paraId="00000042">
      <w:pPr>
        <w:numPr>
          <w:ilvl w:val="1"/>
          <w:numId w:val="4"/>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Run a quick </w:t>
      </w:r>
      <w:r w:rsidDel="00000000" w:rsidR="00000000" w:rsidRPr="00000000">
        <w:rPr>
          <w:rFonts w:ascii="Play" w:cs="Play" w:eastAsia="Play" w:hAnsi="Play"/>
          <w:i w:val="1"/>
          <w:iCs w:val="1"/>
          <w:sz w:val="24"/>
          <w:szCs w:val="24"/>
          <w:rtl w:val="0"/>
        </w:rPr>
        <w:t xml:space="preserve">Lifecycle Audit</w:t>
      </w:r>
      <w:r w:rsidDel="00000000" w:rsidR="00000000" w:rsidRPr="00000000">
        <w:rPr>
          <w:rFonts w:ascii="Play" w:cs="Play" w:eastAsia="Play" w:hAnsi="Play"/>
          <w:sz w:val="24"/>
          <w:szCs w:val="24"/>
          <w:rtl w:val="0"/>
        </w:rPr>
        <w:t xml:space="preserve"> across the five stages to check for any hidden instances of "burden-shifting". </w:t>
      </w:r>
    </w:p>
    <w:p w:rsidR="00000000" w:rsidDel="00000000" w:rsidP="00000000" w:rsidRDefault="00000000" w:rsidRPr="00000000" w14:paraId="00000043">
      <w:pPr>
        <w:spacing w:line="360" w:lineRule="auto"/>
        <w:jc w:val="both"/>
        <w:rPr>
          <w:rFonts w:ascii="Play" w:cs="Play" w:eastAsia="Play" w:hAnsi="Play"/>
          <w:b w:val="1"/>
          <w:bCs w:val="1"/>
          <w:sz w:val="24"/>
          <w:szCs w:val="24"/>
        </w:rPr>
      </w:pPr>
      <w:r w:rsidDel="00000000" w:rsidR="00000000" w:rsidRPr="00000000">
        <w:rPr>
          <w:rFonts w:ascii="Play" w:cs="Play" w:eastAsia="Play" w:hAnsi="Play"/>
          <w:b w:val="1"/>
          <w:bCs w:val="1"/>
          <w:sz w:val="24"/>
          <w:szCs w:val="24"/>
          <w:rtl w:val="0"/>
        </w:rPr>
        <w:t xml:space="preserve">4. Module Evaluation Quiz</w:t>
      </w:r>
    </w:p>
    <w:p w:rsidR="00000000" w:rsidDel="00000000" w:rsidP="00000000" w:rsidRDefault="00000000" w:rsidRPr="00000000" w14:paraId="00000044">
      <w:pPr>
        <w:numPr>
          <w:ilvl w:val="0"/>
          <w:numId w:val="5"/>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In sustainable market entry strategy, what is the definition of the "green gap"?</w:t>
      </w:r>
      <w:r w:rsidDel="00000000" w:rsidR="00000000" w:rsidRPr="00000000">
        <w:rPr>
          <w:rtl w:val="0"/>
        </w:rPr>
      </w:r>
    </w:p>
    <w:p w:rsidR="00000000" w:rsidDel="00000000" w:rsidP="00000000" w:rsidRDefault="00000000" w:rsidRPr="00000000" w14:paraId="00000045">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A. The operational time delay between achieving energy efficiency and securing positive cash flow.</w:t>
      </w:r>
    </w:p>
    <w:p w:rsidR="00000000" w:rsidDel="00000000" w:rsidP="00000000" w:rsidRDefault="00000000" w:rsidRPr="00000000" w14:paraId="00000046">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B. The documented variance between a consumer’s stated willingness to pay for sustainable goods and their actual real-world purchasing behavior.</w:t>
      </w:r>
      <w:r w:rsidDel="00000000" w:rsidR="00000000" w:rsidRPr="00000000">
        <w:rPr>
          <w:rtl w:val="0"/>
        </w:rPr>
      </w:r>
    </w:p>
    <w:p w:rsidR="00000000" w:rsidDel="00000000" w:rsidP="00000000" w:rsidRDefault="00000000" w:rsidRPr="00000000" w14:paraId="00000047">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C. The structural funding deficit separating early-stage green startups from traditional venture capital pools.</w:t>
      </w:r>
    </w:p>
    <w:p w:rsidR="00000000" w:rsidDel="00000000" w:rsidP="00000000" w:rsidRDefault="00000000" w:rsidRPr="00000000" w14:paraId="00000048">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Correct Answer: B </w:t>
      </w:r>
    </w:p>
    <w:p w:rsidR="00000000" w:rsidDel="00000000" w:rsidP="00000000" w:rsidRDefault="00000000" w:rsidRPr="00000000" w14:paraId="00000049">
      <w:pPr>
        <w:numPr>
          <w:ilvl w:val="0"/>
          <w:numId w:val="5"/>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Which statement best characterizes the structural financial logic of a true green business model?</w:t>
      </w:r>
      <w:r w:rsidDel="00000000" w:rsidR="00000000" w:rsidRPr="00000000">
        <w:rPr>
          <w:rtl w:val="0"/>
        </w:rPr>
      </w:r>
    </w:p>
    <w:p w:rsidR="00000000" w:rsidDel="00000000" w:rsidP="00000000" w:rsidRDefault="00000000" w:rsidRPr="00000000" w14:paraId="0000004A">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A. Minimal initial asset costs paired with high variable logistics expenses down the value chain.</w:t>
      </w:r>
    </w:p>
    <w:p w:rsidR="00000000" w:rsidDel="00000000" w:rsidP="00000000" w:rsidRDefault="00000000" w:rsidRPr="00000000" w14:paraId="0000004B">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B. A front-loaded investment structure featuring high upfront compliance and material costs, offset over time by back-loaded operational efficiency savings.</w:t>
      </w:r>
      <w:r w:rsidDel="00000000" w:rsidR="00000000" w:rsidRPr="00000000">
        <w:rPr>
          <w:rtl w:val="0"/>
        </w:rPr>
      </w:r>
    </w:p>
    <w:p w:rsidR="00000000" w:rsidDel="00000000" w:rsidP="00000000" w:rsidRDefault="00000000" w:rsidRPr="00000000" w14:paraId="0000004C">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C. Immediate profitability within the first fiscal quarter if the environmental value proposition is compelling.</w:t>
      </w:r>
    </w:p>
    <w:p w:rsidR="00000000" w:rsidDel="00000000" w:rsidP="00000000" w:rsidRDefault="00000000" w:rsidRPr="00000000" w14:paraId="0000004D">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Correct Answer: B </w:t>
      </w:r>
    </w:p>
    <w:p w:rsidR="00000000" w:rsidDel="00000000" w:rsidP="00000000" w:rsidRDefault="00000000" w:rsidRPr="00000000" w14:paraId="0000004E">
      <w:pPr>
        <w:numPr>
          <w:ilvl w:val="0"/>
          <w:numId w:val="5"/>
        </w:numPr>
        <w:spacing w:line="360" w:lineRule="auto"/>
        <w:ind w:left="72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What is the strategic problem associated with "SDG Overload" in early-stage green business plans?</w:t>
      </w:r>
      <w:r w:rsidDel="00000000" w:rsidR="00000000" w:rsidRPr="00000000">
        <w:rPr>
          <w:rtl w:val="0"/>
        </w:rPr>
      </w:r>
    </w:p>
    <w:p w:rsidR="00000000" w:rsidDel="00000000" w:rsidP="00000000" w:rsidRDefault="00000000" w:rsidRPr="00000000" w14:paraId="0000004F">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A. It fails to match up with the United Nations minimum graphic formatting requirements.</w:t>
      </w:r>
    </w:p>
    <w:p w:rsidR="00000000" w:rsidDel="00000000" w:rsidP="00000000" w:rsidRDefault="00000000" w:rsidRPr="00000000" w14:paraId="00000050">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B. It automatically invalidates the venture's eligibility for localized green procurement subsidies.</w:t>
      </w:r>
    </w:p>
    <w:p w:rsidR="00000000" w:rsidDel="00000000" w:rsidP="00000000" w:rsidRDefault="00000000" w:rsidRPr="00000000" w14:paraId="00000051">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b w:val="1"/>
          <w:bCs w:val="1"/>
          <w:sz w:val="24"/>
          <w:szCs w:val="24"/>
          <w:rtl w:val="0"/>
        </w:rPr>
        <w:t xml:space="preserve">C. It signals a lack of strategic focus by listing numerous global goals without explicitly connecting them to specific, daily operational issues.</w:t>
      </w:r>
      <w:r w:rsidDel="00000000" w:rsidR="00000000" w:rsidRPr="00000000">
        <w:rPr>
          <w:rtl w:val="0"/>
        </w:rPr>
      </w:r>
    </w:p>
    <w:p w:rsidR="00000000" w:rsidDel="00000000" w:rsidP="00000000" w:rsidRDefault="00000000" w:rsidRPr="00000000" w14:paraId="00000052">
      <w:pPr>
        <w:numPr>
          <w:ilvl w:val="1"/>
          <w:numId w:val="5"/>
        </w:numPr>
        <w:spacing w:line="360" w:lineRule="auto"/>
        <w:ind w:left="1440" w:hanging="360"/>
        <w:jc w:val="both"/>
        <w:rPr>
          <w:rFonts w:ascii="Play" w:cs="Play" w:eastAsia="Play" w:hAnsi="Play"/>
          <w:sz w:val="24"/>
          <w:szCs w:val="24"/>
        </w:rPr>
      </w:pPr>
      <w:r w:rsidDel="00000000" w:rsidR="00000000" w:rsidRPr="00000000">
        <w:rPr>
          <w:rFonts w:ascii="Play" w:cs="Play" w:eastAsia="Play" w:hAnsi="Play"/>
          <w:sz w:val="24"/>
          <w:szCs w:val="24"/>
          <w:rtl w:val="0"/>
        </w:rPr>
        <w:t xml:space="preserve">Correct Answer: C </w:t>
      </w:r>
    </w:p>
    <w:p w:rsidR="00000000" w:rsidDel="00000000" w:rsidP="00000000" w:rsidRDefault="00000000" w:rsidRPr="00000000" w14:paraId="00000053">
      <w:pPr>
        <w:spacing w:line="360" w:lineRule="auto"/>
        <w:jc w:val="both"/>
        <w:rPr>
          <w:rFonts w:ascii="Play" w:cs="Play" w:eastAsia="Play" w:hAnsi="Play"/>
          <w:sz w:val="24"/>
          <w:szCs w:val="24"/>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Unicode MS"/>
  <w:font w:name="Courier New"/>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vnrP9D1gSw2B2tq1rUPUXgKZN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OAByITE0RnUteE14anB0dXQ4bklsekRQWWZpdTR2THczeW9B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